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F3302D" w:rsidRDefault="00121541" w:rsidP="00146F46">
      <w:pPr>
        <w:spacing w:before="240" w:after="240" w:line="240" w:lineRule="auto"/>
        <w:jc w:val="both"/>
        <w:rPr>
          <w:rFonts w:ascii="Cambria" w:hAnsi="Cambria" w:cs="Cambria"/>
          <w:b/>
          <w:bCs/>
          <w:color w:val="CE0000"/>
          <w:sz w:val="32"/>
          <w:szCs w:val="32"/>
        </w:rPr>
      </w:pPr>
      <w:r w:rsidRPr="00C44C9D">
        <w:rPr>
          <w:noProof/>
          <w:color w:val="6D2F9D"/>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C44C9D">
        <w:rPr>
          <w:rFonts w:ascii="Cambria" w:hAnsi="Cambria" w:cs="Cambria"/>
          <w:b/>
          <w:bCs/>
          <w:color w:val="6D2F9D"/>
          <w:sz w:val="28"/>
          <w:szCs w:val="28"/>
        </w:rPr>
        <w:t>A title should be the Fewest Possible Words that Accurately Describe the Content of the Paper (1</w:t>
      </w:r>
      <w:r w:rsidR="00A1466B" w:rsidRPr="00C44C9D">
        <w:rPr>
          <w:rFonts w:ascii="Cambria" w:hAnsi="Cambria" w:cs="Cambria"/>
          <w:b/>
          <w:bCs/>
          <w:color w:val="6D2F9D"/>
          <w:sz w:val="28"/>
          <w:szCs w:val="28"/>
        </w:rPr>
        <w:t>4</w:t>
      </w:r>
      <w:r w:rsidR="001906E4" w:rsidRPr="00C44C9D">
        <w:rPr>
          <w:rFonts w:ascii="Cambria" w:hAnsi="Cambria" w:cs="Cambria"/>
          <w:b/>
          <w:bCs/>
          <w:color w:val="6D2F9D"/>
          <w:sz w:val="28"/>
          <w:szCs w:val="28"/>
        </w:rPr>
        <w:t>pt)</w:t>
      </w:r>
      <w:r w:rsidR="001906E4" w:rsidRPr="00F3302D">
        <w:rPr>
          <w:rFonts w:ascii="Cambria" w:hAnsi="Cambria" w:cs="Cambria"/>
          <w:b/>
          <w:bCs/>
          <w:color w:val="CE000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C44C9D">
        <w:rPr>
          <w:rFonts w:ascii="Cambria" w:hAnsi="Cambria" w:cs="Cambria"/>
          <w:color w:val="6D2F9D"/>
          <w:sz w:val="16"/>
          <w:szCs w:val="16"/>
          <w:vertAlign w:val="superscript"/>
        </w:rPr>
        <w:t>1</w:t>
      </w:r>
      <w:r w:rsidRPr="00C44C9D">
        <w:rPr>
          <w:rFonts w:ascii="Cambria" w:hAnsi="Cambria" w:cs="Cambria"/>
          <w:color w:val="6D2F9D"/>
          <w:sz w:val="16"/>
          <w:szCs w:val="16"/>
        </w:rPr>
        <w:t xml:space="preserve"> Email First Author*; </w:t>
      </w:r>
      <w:r w:rsidRPr="00C44C9D">
        <w:rPr>
          <w:rFonts w:ascii="Cambria" w:hAnsi="Cambria" w:cs="Cambria"/>
          <w:color w:val="6D2F9D"/>
          <w:sz w:val="16"/>
          <w:szCs w:val="16"/>
          <w:vertAlign w:val="superscript"/>
        </w:rPr>
        <w:t>2</w:t>
      </w:r>
      <w:r w:rsidRPr="00C44C9D">
        <w:rPr>
          <w:rFonts w:ascii="Cambria" w:hAnsi="Cambria" w:cs="Cambria"/>
          <w:color w:val="6D2F9D"/>
          <w:sz w:val="16"/>
          <w:szCs w:val="16"/>
        </w:rPr>
        <w:t xml:space="preserve"> Email Second Author; </w:t>
      </w:r>
      <w:r w:rsidRPr="00C44C9D">
        <w:rPr>
          <w:rFonts w:ascii="Cambria" w:hAnsi="Cambria" w:cs="Cambria"/>
          <w:color w:val="6D2F9D"/>
          <w:sz w:val="16"/>
          <w:szCs w:val="16"/>
          <w:vertAlign w:val="superscript"/>
        </w:rPr>
        <w:t>3</w:t>
      </w:r>
      <w:r w:rsidRPr="00C44C9D">
        <w:rPr>
          <w:rFonts w:ascii="Cambria" w:hAnsi="Cambria" w:cs="Cambria"/>
          <w:color w:val="6D2F9D"/>
          <w:sz w:val="16"/>
          <w:szCs w:val="16"/>
        </w:rPr>
        <w:t xml:space="preserve"> Email Third Author</w:t>
      </w:r>
      <w:r w:rsidRPr="00D51014">
        <w:rPr>
          <w:rFonts w:ascii="Cambria" w:hAnsi="Cambria" w:cs="Cambria"/>
          <w:color w:val="31469B"/>
          <w:sz w:val="16"/>
          <w:szCs w:val="16"/>
        </w:rPr>
        <w:t xml:space="preserve">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C44C9D">
              <w:rPr>
                <w:rFonts w:ascii="Cambria" w:hAnsi="Cambria" w:cs="Cambria"/>
                <w:b/>
                <w:bCs/>
                <w:color w:val="6D2F9D"/>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C44C9D">
        <w:trPr>
          <w:trHeight w:val="2196"/>
        </w:trPr>
        <w:tc>
          <w:tcPr>
            <w:tcW w:w="6852" w:type="dxa"/>
            <w:shd w:val="clear" w:color="auto" w:fill="F3EBF9"/>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3A225174"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Copyright © 202</w:t>
            </w:r>
            <w:r w:rsidR="00C44C9D">
              <w:rPr>
                <w:rFonts w:ascii="Cambria" w:hAnsi="Cambria" w:cs="Cambria"/>
                <w:color w:val="auto"/>
                <w:sz w:val="16"/>
                <w:szCs w:val="16"/>
              </w:rPr>
              <w:t>5</w:t>
            </w:r>
            <w:r w:rsidRPr="00AD3564">
              <w:rPr>
                <w:rFonts w:ascii="Cambria" w:hAnsi="Cambria" w:cs="Cambria"/>
                <w:color w:val="auto"/>
                <w:sz w:val="16"/>
                <w:szCs w:val="16"/>
              </w:rPr>
              <w:t xml:space="preserve">,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C44C9D" w:rsidRDefault="001906E4">
            <w:pPr>
              <w:spacing w:after="0" w:line="240" w:lineRule="auto"/>
              <w:rPr>
                <w:rFonts w:ascii="Cambria" w:hAnsi="Cambria" w:cs="Cambria"/>
                <w:b/>
                <w:bCs/>
                <w:color w:val="6D2F9D"/>
                <w:sz w:val="16"/>
                <w:szCs w:val="16"/>
              </w:rPr>
            </w:pPr>
            <w:r w:rsidRPr="00C44C9D">
              <w:rPr>
                <w:rFonts w:ascii="Cambria" w:hAnsi="Cambria" w:cs="Cambria"/>
                <w:b/>
                <w:bCs/>
                <w:color w:val="6D2F9D"/>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C44C9D" w:rsidRDefault="001906E4">
            <w:pPr>
              <w:spacing w:after="0" w:line="240" w:lineRule="auto"/>
              <w:rPr>
                <w:rFonts w:ascii="Cambria" w:hAnsi="Cambria" w:cs="Cambria"/>
                <w:b/>
                <w:bCs/>
                <w:color w:val="6D2F9D"/>
                <w:sz w:val="16"/>
                <w:szCs w:val="16"/>
              </w:rPr>
            </w:pPr>
            <w:r w:rsidRPr="00C44C9D">
              <w:rPr>
                <w:rFonts w:ascii="Cambria" w:hAnsi="Cambria" w:cs="Cambria"/>
                <w:b/>
                <w:bCs/>
                <w:color w:val="6D2F9D"/>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xml:space="preserve">)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146F46">
        <w:rPr>
          <w:rFonts w:ascii="Cambria" w:hAnsi="Cambria" w:cs="Cambria"/>
          <w:color w:val="auto"/>
        </w:rPr>
        <w:t>where</w:t>
      </w:r>
      <w:proofErr w:type="gramEnd"/>
      <w:r w:rsidRPr="00146F46">
        <w:rPr>
          <w:rFonts w:ascii="Cambria" w:hAnsi="Cambria" w:cs="Cambria"/>
          <w:color w:val="auto"/>
        </w:rPr>
        <w:t>.</w:t>
      </w:r>
    </w:p>
    <w:p w14:paraId="5894DF2E"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 xml:space="preserve">Method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w:t>
      </w:r>
      <w:proofErr w:type="gramStart"/>
      <w:r w:rsidRPr="00146F46">
        <w:rPr>
          <w:rFonts w:ascii="Cambria" w:hAnsi="Cambria" w:cs="Cambria"/>
          <w:color w:val="auto"/>
        </w:rPr>
        <w:t>one</w:t>
      </w:r>
      <w:proofErr w:type="gramEnd"/>
      <w:r w:rsidRPr="00146F46">
        <w:rPr>
          <w:rFonts w:ascii="Cambria" w:hAnsi="Cambria" w:cs="Cambria"/>
          <w:color w:val="auto"/>
        </w:rPr>
        <w:t xml:space="preserve"> single space, 11pt font)</w:t>
      </w:r>
    </w:p>
    <w:p w14:paraId="084569D4"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Details</w:t>
      </w:r>
    </w:p>
    <w:p w14:paraId="69F9A19C" w14:textId="77777777" w:rsidR="00A77B3E" w:rsidRPr="00146F46" w:rsidRDefault="001906E4">
      <w:pPr>
        <w:pStyle w:val="Heading3"/>
        <w:rPr>
          <w:b/>
          <w:bCs/>
          <w:color w:val="auto"/>
          <w:sz w:val="22"/>
          <w:szCs w:val="22"/>
        </w:rPr>
      </w:pPr>
      <w:r w:rsidRPr="00146F46">
        <w:rPr>
          <w:b/>
          <w:bCs/>
          <w:color w:val="auto"/>
          <w:sz w:val="22"/>
          <w:szCs w:val="22"/>
        </w:rPr>
        <w:t>2.2.1. 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146F46"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146F46" w:rsidRDefault="001906E4">
      <w:pPr>
        <w:pStyle w:val="Heading3"/>
        <w:rPr>
          <w:b/>
          <w:bCs/>
          <w:color w:val="auto"/>
          <w:sz w:val="22"/>
          <w:szCs w:val="22"/>
        </w:rPr>
      </w:pPr>
      <w:r w:rsidRPr="00146F46">
        <w:rPr>
          <w:b/>
          <w:bCs/>
          <w:color w:val="auto"/>
          <w:sz w:val="22"/>
          <w:szCs w:val="22"/>
        </w:rPr>
        <w:t>2.2.2. 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For measurements use S.I Units (System International units). Measurement should be abbreviated (</w:t>
      </w:r>
      <w:proofErr w:type="gramStart"/>
      <w:r w:rsidRPr="00146F46">
        <w:rPr>
          <w:rFonts w:ascii="Cambria" w:hAnsi="Cambria" w:cs="Cambria"/>
          <w:color w:val="auto"/>
        </w:rPr>
        <w:t>e.g.</w:t>
      </w:r>
      <w:proofErr w:type="gramEnd"/>
      <w:r w:rsidRPr="00146F46">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146F46" w:rsidRDefault="001906E4">
      <w:pPr>
        <w:pStyle w:val="Heading3"/>
        <w:rPr>
          <w:b/>
          <w:bCs/>
          <w:color w:val="auto"/>
          <w:sz w:val="22"/>
          <w:szCs w:val="22"/>
        </w:rPr>
      </w:pPr>
      <w:r w:rsidRPr="00146F46">
        <w:rPr>
          <w:b/>
          <w:bCs/>
          <w:color w:val="auto"/>
          <w:sz w:val="22"/>
          <w:szCs w:val="22"/>
        </w:rPr>
        <w:lastRenderedPageBreak/>
        <w:t>2.2.3. 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77777777" w:rsidR="00A77B3E" w:rsidRPr="00146F46" w:rsidRDefault="001906E4">
      <w:pPr>
        <w:pStyle w:val="Heading3"/>
        <w:rPr>
          <w:b/>
          <w:bCs/>
          <w:color w:val="auto"/>
          <w:sz w:val="22"/>
          <w:szCs w:val="22"/>
        </w:rPr>
      </w:pPr>
      <w:r w:rsidRPr="00146F46">
        <w:rPr>
          <w:b/>
          <w:bCs/>
          <w:color w:val="auto"/>
          <w:sz w:val="22"/>
          <w:szCs w:val="22"/>
        </w:rPr>
        <w:t>2.2.4. 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w:t>
      </w:r>
      <w:proofErr w:type="spellStart"/>
      <w:r w:rsidRPr="00146F46">
        <w:rPr>
          <w:rFonts w:ascii="Cambria" w:hAnsi="Cambria" w:cs="Cambria"/>
          <w:color w:val="auto"/>
        </w:rPr>
        <w:t>pt</w:t>
      </w:r>
      <w:proofErr w:type="spellEnd"/>
      <w:r w:rsidRPr="00146F46">
        <w:rPr>
          <w:rFonts w:ascii="Cambria" w:hAnsi="Cambria" w:cs="Cambria"/>
          <w:color w:val="auto"/>
        </w:rPr>
        <w:t xml:space="preserve">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7777777" w:rsidR="00A77B3E" w:rsidRPr="00146F46" w:rsidRDefault="001906E4">
      <w:pPr>
        <w:pStyle w:val="Heading3"/>
        <w:rPr>
          <w:b/>
          <w:bCs/>
          <w:color w:val="auto"/>
          <w:sz w:val="22"/>
          <w:szCs w:val="22"/>
        </w:rPr>
      </w:pPr>
      <w:r w:rsidRPr="00146F46">
        <w:rPr>
          <w:b/>
          <w:bCs/>
          <w:color w:val="auto"/>
          <w:sz w:val="22"/>
          <w:szCs w:val="22"/>
        </w:rPr>
        <w:t>2.2.5. 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 xml:space="preserve">More table </w:t>
            </w:r>
            <w:proofErr w:type="spellStart"/>
            <w:r w:rsidRPr="00146F46">
              <w:rPr>
                <w:rFonts w:ascii="Cambria" w:hAnsi="Cambria" w:cs="Cambria"/>
                <w:color w:val="auto"/>
                <w:sz w:val="18"/>
                <w:szCs w:val="18"/>
              </w:rPr>
              <w:t>copy</w:t>
            </w:r>
            <w:r w:rsidRPr="00146F46">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6DF9AC58">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3275" b="13275"/>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w:t>
      </w:r>
      <w:proofErr w:type="gramStart"/>
      <w:r w:rsidRPr="00146F46">
        <w:rPr>
          <w:rFonts w:ascii="Cambria" w:hAnsi="Cambria" w:cs="Cambria"/>
          <w:i/>
          <w:iCs/>
          <w:color w:val="auto"/>
          <w:sz w:val="20"/>
          <w:szCs w:val="20"/>
        </w:rPr>
        <w:t>figure</w:t>
      </w:r>
      <w:proofErr w:type="gramEnd"/>
      <w:r w:rsidRPr="00146F46">
        <w:rPr>
          <w:rFonts w:ascii="Cambria" w:hAnsi="Cambria" w:cs="Cambria"/>
          <w:i/>
          <w:iCs/>
          <w:color w:val="auto"/>
          <w:sz w:val="20"/>
          <w:szCs w:val="20"/>
        </w:rPr>
        <w:t xml:space="preserve"> caption)</w:t>
      </w:r>
    </w:p>
    <w:p w14:paraId="6A004DE6"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 xml:space="preserve">The research is funded under …… Project No. </w:t>
            </w:r>
            <w:proofErr w:type="gramStart"/>
            <w:r w:rsidRPr="00146F46">
              <w:rPr>
                <w:rFonts w:ascii="Cambria" w:hAnsi="Cambria" w:cs="Cambria"/>
                <w:color w:val="auto"/>
              </w:rPr>
              <w:t>…..</w:t>
            </w:r>
            <w:proofErr w:type="gramEnd"/>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146F46" w:rsidRDefault="001906E4" w:rsidP="003E4605">
      <w:pPr>
        <w:pStyle w:val="Heading5"/>
        <w:jc w:val="left"/>
        <w:rPr>
          <w:color w:val="auto"/>
        </w:rPr>
      </w:pPr>
      <w:bookmarkStart w:id="1" w:name="h.30j0zll"/>
      <w:bookmarkEnd w:id="1"/>
      <w:r w:rsidRPr="00146F46">
        <w:rPr>
          <w:color w:val="auto"/>
        </w:rPr>
        <w:t>References</w:t>
      </w:r>
    </w:p>
    <w:p w14:paraId="639E2D6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Use tools like Zotero, Mendeley, or EndNote to manage references and format articles, then use </w:t>
      </w:r>
      <w:r w:rsidRPr="00146F46">
        <w:rPr>
          <w:rFonts w:ascii="Cambria" w:hAnsi="Cambria" w:cs="Cambria"/>
          <w:b/>
          <w:bCs/>
          <w:color w:val="auto"/>
        </w:rPr>
        <w:t>IEEE</w:t>
      </w:r>
      <w:r w:rsidRPr="00146F46">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146F46">
        <w:rPr>
          <w:rFonts w:ascii="Cambria" w:hAnsi="Cambria" w:cs="Cambria"/>
          <w:color w:val="auto"/>
        </w:rPr>
        <w:t>publically</w:t>
      </w:r>
      <w:proofErr w:type="spellEnd"/>
      <w:r w:rsidRPr="00146F46">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[1]</w:t>
      </w:r>
      <w:r w:rsidRPr="00146F46">
        <w:rPr>
          <w:rFonts w:ascii="Cambria" w:hAnsi="Cambria" w:cs="Cambria"/>
          <w:color w:val="auto"/>
          <w:sz w:val="20"/>
          <w:szCs w:val="20"/>
        </w:rPr>
        <w:tab/>
        <w:t xml:space="preserve">D. Aldridge, “Music, Communication and Medicine: Discussion Paper,” </w:t>
      </w:r>
      <w:r w:rsidRPr="00146F46">
        <w:rPr>
          <w:rFonts w:ascii="Cambria" w:hAnsi="Cambria" w:cs="Cambria"/>
          <w:i/>
          <w:iCs/>
          <w:color w:val="auto"/>
          <w:sz w:val="20"/>
          <w:szCs w:val="20"/>
        </w:rPr>
        <w:t>J. R. Soc. Med.</w:t>
      </w:r>
      <w:r w:rsidRPr="00146F46">
        <w:rPr>
          <w:rFonts w:ascii="Cambria" w:hAnsi="Cambria" w:cs="Cambria"/>
          <w:color w:val="auto"/>
          <w:sz w:val="20"/>
          <w:szCs w:val="20"/>
        </w:rPr>
        <w:t>, vol. 82, no. 12, pp. 743–746, 1989.</w:t>
      </w:r>
    </w:p>
    <w:p w14:paraId="6B5E471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[2]</w:t>
      </w:r>
      <w:r w:rsidRPr="00146F46">
        <w:rPr>
          <w:rFonts w:ascii="Cambria" w:hAnsi="Cambria" w:cs="Cambria"/>
          <w:color w:val="auto"/>
          <w:sz w:val="20"/>
          <w:szCs w:val="20"/>
        </w:rPr>
        <w:tab/>
        <w:t xml:space="preserve">M. </w:t>
      </w:r>
      <w:proofErr w:type="spellStart"/>
      <w:r w:rsidRPr="00146F46">
        <w:rPr>
          <w:rFonts w:ascii="Cambria" w:hAnsi="Cambria" w:cs="Cambria"/>
          <w:color w:val="auto"/>
          <w:sz w:val="20"/>
          <w:szCs w:val="20"/>
        </w:rPr>
        <w:t>Pretković</w:t>
      </w:r>
      <w:proofErr w:type="spellEnd"/>
      <w:r w:rsidRPr="00146F46">
        <w:rPr>
          <w:rFonts w:ascii="Cambria" w:hAnsi="Cambria" w:cs="Cambria"/>
          <w:color w:val="auto"/>
          <w:sz w:val="20"/>
          <w:szCs w:val="20"/>
        </w:rPr>
        <w:t xml:space="preserve"> and T. </w:t>
      </w:r>
      <w:proofErr w:type="spellStart"/>
      <w:r w:rsidRPr="00146F46">
        <w:rPr>
          <w:rFonts w:ascii="Cambria" w:hAnsi="Cambria" w:cs="Cambria"/>
          <w:color w:val="auto"/>
          <w:sz w:val="20"/>
          <w:szCs w:val="20"/>
        </w:rPr>
        <w:t>Škrinjarić</w:t>
      </w:r>
      <w:proofErr w:type="spellEnd"/>
      <w:r w:rsidRPr="00146F46">
        <w:rPr>
          <w:rFonts w:ascii="Cambria" w:hAnsi="Cambria" w:cs="Cambria"/>
          <w:color w:val="auto"/>
          <w:sz w:val="20"/>
          <w:szCs w:val="20"/>
        </w:rPr>
        <w:t xml:space="preserve">, “Reviving Javanese Picture Scroll Theatre,” </w:t>
      </w:r>
      <w:proofErr w:type="spellStart"/>
      <w:r w:rsidRPr="00146F46">
        <w:rPr>
          <w:rFonts w:ascii="Cambria" w:hAnsi="Cambria" w:cs="Cambria"/>
          <w:i/>
          <w:iCs/>
          <w:color w:val="auto"/>
          <w:sz w:val="20"/>
          <w:szCs w:val="20"/>
        </w:rPr>
        <w:t>Etnološka</w:t>
      </w:r>
      <w:proofErr w:type="spellEnd"/>
      <w:r w:rsidRPr="00146F46">
        <w:rPr>
          <w:rFonts w:ascii="Cambria" w:hAnsi="Cambria" w:cs="Cambria"/>
          <w:i/>
          <w:iCs/>
          <w:color w:val="auto"/>
          <w:sz w:val="20"/>
          <w:szCs w:val="20"/>
        </w:rPr>
        <w:t xml:space="preserve"> Trib.</w:t>
      </w:r>
      <w:r w:rsidRPr="00146F46">
        <w:rPr>
          <w:rFonts w:ascii="Cambria" w:hAnsi="Cambria" w:cs="Cambria"/>
          <w:color w:val="auto"/>
          <w:sz w:val="20"/>
          <w:szCs w:val="20"/>
        </w:rPr>
        <w:t xml:space="preserve">, vol. 47, no. 40, pp. 198–221, Dec. 2017,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10.15378/1848-9540.2017.40.08.</w:t>
      </w:r>
    </w:p>
    <w:p w14:paraId="1ADA4E7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[3]</w:t>
      </w:r>
      <w:r w:rsidRPr="00146F46">
        <w:rPr>
          <w:rFonts w:ascii="Cambria" w:hAnsi="Cambria" w:cs="Cambria"/>
          <w:color w:val="auto"/>
          <w:sz w:val="20"/>
          <w:szCs w:val="20"/>
        </w:rPr>
        <w:tab/>
        <w:t xml:space="preserve">P. Dunbar-Hall, “Concept or Context? Teaching and Learning Balinese Gamelan and the Universalist-Pluralist Debate,” </w:t>
      </w:r>
      <w:r w:rsidRPr="00146F46">
        <w:rPr>
          <w:rFonts w:ascii="Cambria" w:hAnsi="Cambria" w:cs="Cambria"/>
          <w:i/>
          <w:iCs/>
          <w:color w:val="auto"/>
          <w:sz w:val="20"/>
          <w:szCs w:val="20"/>
        </w:rPr>
        <w:t>Music Educ. Res.</w:t>
      </w:r>
      <w:r w:rsidRPr="00146F46">
        <w:rPr>
          <w:rFonts w:ascii="Cambria" w:hAnsi="Cambria" w:cs="Cambria"/>
          <w:color w:val="auto"/>
          <w:sz w:val="20"/>
          <w:szCs w:val="20"/>
        </w:rPr>
        <w:t xml:space="preserve">, vol. 2, no. 2, pp. 127–139, 2000,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doi.org/10.1080/14613800050165604.</w:t>
      </w:r>
    </w:p>
    <w:p w14:paraId="44020B7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[4]</w:t>
      </w:r>
      <w:r w:rsidRPr="00146F46">
        <w:rPr>
          <w:rFonts w:ascii="Cambria" w:hAnsi="Cambria" w:cs="Cambria"/>
          <w:color w:val="auto"/>
          <w:sz w:val="20"/>
          <w:szCs w:val="20"/>
        </w:rPr>
        <w:tab/>
        <w:t xml:space="preserve">M. Mendonça, “Gamelan in Prisons in England and Scotland: Narratives of Transformation and the ‘Good Vibrations’ of Educational Rhetoric,” </w:t>
      </w:r>
      <w:r w:rsidRPr="00146F46">
        <w:rPr>
          <w:rFonts w:ascii="Cambria" w:hAnsi="Cambria" w:cs="Cambria"/>
          <w:i/>
          <w:iCs/>
          <w:color w:val="auto"/>
          <w:sz w:val="20"/>
          <w:szCs w:val="20"/>
        </w:rPr>
        <w:t>Ethnomusicology</w:t>
      </w:r>
      <w:r w:rsidRPr="00146F46">
        <w:rPr>
          <w:rFonts w:ascii="Cambria" w:hAnsi="Cambria" w:cs="Cambria"/>
          <w:color w:val="auto"/>
          <w:sz w:val="20"/>
          <w:szCs w:val="20"/>
        </w:rPr>
        <w:t>, vol. 54, no. 3, pp. 369–394, 2010.</w:t>
      </w:r>
    </w:p>
    <w:p w14:paraId="1D7ED050"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lastRenderedPageBreak/>
        <w:t>[5]</w:t>
      </w:r>
      <w:r w:rsidRPr="00146F46">
        <w:rPr>
          <w:rFonts w:ascii="Cambria" w:hAnsi="Cambria" w:cs="Cambria"/>
          <w:color w:val="auto"/>
          <w:sz w:val="20"/>
          <w:szCs w:val="20"/>
        </w:rPr>
        <w:tab/>
        <w:t xml:space="preserve">M. S. Barrett, “Attending to ‘culture in the small’: A narrative analysis of the role of play, thought and music in young children’s world-making,” </w:t>
      </w:r>
      <w:r w:rsidRPr="00146F46">
        <w:rPr>
          <w:rFonts w:ascii="Cambria" w:hAnsi="Cambria" w:cs="Cambria"/>
          <w:i/>
          <w:iCs/>
          <w:color w:val="auto"/>
          <w:sz w:val="20"/>
          <w:szCs w:val="20"/>
        </w:rPr>
        <w:t>Res. Stud. Music Educ.</w:t>
      </w:r>
      <w:r w:rsidRPr="00146F46">
        <w:rPr>
          <w:rFonts w:ascii="Cambria" w:hAnsi="Cambria" w:cs="Cambria"/>
          <w:color w:val="auto"/>
          <w:sz w:val="20"/>
          <w:szCs w:val="20"/>
        </w:rPr>
        <w:t xml:space="preserve">, vol. 38, no. 1, pp. 41–54, Jun. 2016,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10.1177/1321103X15603557.</w:t>
      </w:r>
    </w:p>
    <w:p w14:paraId="250A5F1C"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[6]</w:t>
      </w:r>
      <w:r w:rsidRPr="00146F46">
        <w:rPr>
          <w:rFonts w:ascii="Cambria" w:hAnsi="Cambria" w:cs="Cambria"/>
          <w:color w:val="auto"/>
          <w:sz w:val="20"/>
          <w:szCs w:val="20"/>
        </w:rPr>
        <w:tab/>
        <w:t xml:space="preserve">J. Á. L. López, “Music creation in the film process. A critical approach,” </w:t>
      </w:r>
      <w:r w:rsidRPr="00146F46">
        <w:rPr>
          <w:rFonts w:ascii="Cambria" w:hAnsi="Cambria" w:cs="Cambria"/>
          <w:i/>
          <w:iCs/>
          <w:color w:val="auto"/>
          <w:sz w:val="20"/>
          <w:szCs w:val="20"/>
        </w:rPr>
        <w:t xml:space="preserve">Fonseca J. </w:t>
      </w:r>
      <w:proofErr w:type="spellStart"/>
      <w:r w:rsidRPr="00146F46">
        <w:rPr>
          <w:rFonts w:ascii="Cambria" w:hAnsi="Cambria" w:cs="Cambria"/>
          <w:i/>
          <w:iCs/>
          <w:color w:val="auto"/>
          <w:sz w:val="20"/>
          <w:szCs w:val="20"/>
        </w:rPr>
        <w:t>Commun</w:t>
      </w:r>
      <w:proofErr w:type="spellEnd"/>
      <w:r w:rsidRPr="00146F46">
        <w:rPr>
          <w:rFonts w:ascii="Cambria" w:hAnsi="Cambria" w:cs="Cambria"/>
          <w:i/>
          <w:iCs/>
          <w:color w:val="auto"/>
          <w:sz w:val="20"/>
          <w:szCs w:val="20"/>
        </w:rPr>
        <w:t>.</w:t>
      </w:r>
      <w:r w:rsidRPr="00146F46">
        <w:rPr>
          <w:rFonts w:ascii="Cambria" w:hAnsi="Cambria" w:cs="Cambria"/>
          <w:color w:val="auto"/>
          <w:sz w:val="20"/>
          <w:szCs w:val="20"/>
        </w:rPr>
        <w:t xml:space="preserve">, no. 22, pp. 173–188, 2021,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10.14201/fjc-v22-23477.</w:t>
      </w:r>
    </w:p>
    <w:p w14:paraId="19EF8B0B" w14:textId="77777777" w:rsidR="00A77B3E" w:rsidRPr="00146F46" w:rsidRDefault="001906E4" w:rsidP="003E4605">
      <w:pPr>
        <w:pStyle w:val="Heading5"/>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A8BD" w14:textId="77777777" w:rsidR="008D2C51" w:rsidRDefault="008D2C51">
      <w:pPr>
        <w:spacing w:after="0" w:line="240" w:lineRule="auto"/>
      </w:pPr>
      <w:r>
        <w:separator/>
      </w:r>
    </w:p>
  </w:endnote>
  <w:endnote w:type="continuationSeparator" w:id="0">
    <w:p w14:paraId="571A1D13" w14:textId="77777777" w:rsidR="008D2C51" w:rsidRDefault="008D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66B301F2"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C44C9D">
      <w:rPr>
        <w:i/>
        <w:iCs/>
        <w:color w:val="FF0000"/>
        <w:sz w:val="18"/>
        <w:szCs w:val="18"/>
        <w:lang w:eastAsia="en-ID"/>
      </w:rPr>
      <w:t>SIMPUL</w:t>
    </w:r>
    <w:r w:rsidR="00D51014">
      <w:rPr>
        <w:i/>
        <w:iCs/>
        <w:color w:val="FF0000"/>
        <w:sz w:val="18"/>
        <w:szCs w:val="18"/>
        <w:lang w:eastAsia="en-ID"/>
      </w:rPr>
      <w:t xml:space="preserve">: </w:t>
    </w:r>
    <w:proofErr w:type="spellStart"/>
    <w:r w:rsidR="00D51014">
      <w:rPr>
        <w:i/>
        <w:iCs/>
        <w:color w:val="FF0000"/>
        <w:sz w:val="18"/>
        <w:szCs w:val="18"/>
        <w:lang w:eastAsia="en-ID"/>
      </w:rPr>
      <w:t>Jurnal</w:t>
    </w:r>
    <w:proofErr w:type="spellEnd"/>
    <w:r w:rsidR="00D51014">
      <w:rPr>
        <w:i/>
        <w:iCs/>
        <w:color w:val="FF0000"/>
        <w:sz w:val="18"/>
        <w:szCs w:val="18"/>
        <w:lang w:eastAsia="en-ID"/>
      </w:rPr>
      <w:t xml:space="preserve"> </w:t>
    </w:r>
    <w:proofErr w:type="spellStart"/>
    <w:r w:rsidR="00C44C9D">
      <w:rPr>
        <w:i/>
        <w:iCs/>
        <w:color w:val="FF0000"/>
        <w:sz w:val="18"/>
        <w:szCs w:val="18"/>
        <w:lang w:eastAsia="en-ID"/>
      </w:rPr>
      <w:t>Ilmu</w:t>
    </w:r>
    <w:proofErr w:type="spellEnd"/>
    <w:r w:rsidR="00C44C9D">
      <w:rPr>
        <w:i/>
        <w:iCs/>
        <w:color w:val="FF0000"/>
        <w:sz w:val="18"/>
        <w:szCs w:val="18"/>
        <w:lang w:eastAsia="en-ID"/>
      </w:rPr>
      <w:t xml:space="preserve"> </w:t>
    </w:r>
    <w:proofErr w:type="spellStart"/>
    <w:r w:rsidR="00C44C9D">
      <w:rPr>
        <w:i/>
        <w:iCs/>
        <w:color w:val="FF0000"/>
        <w:sz w:val="18"/>
        <w:szCs w:val="18"/>
        <w:lang w:eastAsia="en-ID"/>
      </w:rPr>
      <w:t>Politik</w:t>
    </w:r>
    <w:proofErr w:type="spellEnd"/>
    <w:r w:rsidR="00C44C9D">
      <w:rPr>
        <w:i/>
        <w:iCs/>
        <w:color w:val="FF0000"/>
        <w:sz w:val="18"/>
        <w:szCs w:val="18"/>
        <w:lang w:eastAsia="en-ID"/>
      </w:rPr>
      <w:t xml:space="preserve"> dan Hukum</w:t>
    </w:r>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C44C9D">
      <w:rPr>
        <w:color w:val="FF0000"/>
        <w:sz w:val="18"/>
        <w:szCs w:val="18"/>
        <w:lang w:eastAsia="en-ID"/>
      </w:rPr>
      <w:t>simpul</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3BA8" w14:textId="77777777" w:rsidR="008D2C51" w:rsidRDefault="008D2C51">
      <w:pPr>
        <w:spacing w:after="0" w:line="240" w:lineRule="auto"/>
      </w:pPr>
      <w:r>
        <w:separator/>
      </w:r>
    </w:p>
  </w:footnote>
  <w:footnote w:type="continuationSeparator" w:id="0">
    <w:p w14:paraId="2EA14FE7" w14:textId="77777777" w:rsidR="008D2C51" w:rsidRDefault="008D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0B31613B" w:rsidR="001906E4" w:rsidRPr="00146F46" w:rsidRDefault="00C44C9D">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Pr>
        <w:rFonts w:ascii="Cambria" w:hAnsi="Cambria" w:cs="Cambria"/>
        <w:i/>
        <w:iCs/>
        <w:color w:val="auto"/>
        <w:sz w:val="18"/>
        <w:szCs w:val="18"/>
      </w:rPr>
      <w:t>SIMPUL</w:t>
    </w:r>
    <w:r w:rsidR="00D51014" w:rsidRPr="00146F46">
      <w:rPr>
        <w:rFonts w:ascii="Cambria" w:hAnsi="Cambria" w:cs="Cambria"/>
        <w:i/>
        <w:iCs/>
        <w:color w:val="auto"/>
        <w:sz w:val="18"/>
        <w:szCs w:val="18"/>
      </w:rPr>
      <w:t xml:space="preserve">: </w:t>
    </w:r>
    <w:proofErr w:type="spellStart"/>
    <w:r w:rsidR="00D51014" w:rsidRPr="00146F46">
      <w:rPr>
        <w:rFonts w:ascii="Cambria" w:hAnsi="Cambria" w:cs="Cambria"/>
        <w:i/>
        <w:iCs/>
        <w:color w:val="auto"/>
        <w:sz w:val="18"/>
        <w:szCs w:val="18"/>
      </w:rPr>
      <w:t>Jurnal</w:t>
    </w:r>
    <w:proofErr w:type="spellEnd"/>
    <w:r w:rsidR="00D51014" w:rsidRPr="00146F46">
      <w:rPr>
        <w:rFonts w:ascii="Cambria" w:hAnsi="Cambria" w:cs="Cambria"/>
        <w:i/>
        <w:iCs/>
        <w:color w:val="auto"/>
        <w:sz w:val="18"/>
        <w:szCs w:val="18"/>
      </w:rPr>
      <w:t xml:space="preserve"> </w:t>
    </w:r>
    <w:proofErr w:type="spellStart"/>
    <w:r>
      <w:rPr>
        <w:rFonts w:ascii="Cambria" w:hAnsi="Cambria" w:cs="Cambria"/>
        <w:i/>
        <w:iCs/>
        <w:color w:val="auto"/>
        <w:sz w:val="18"/>
        <w:szCs w:val="18"/>
      </w:rPr>
      <w:t>Ilmu</w:t>
    </w:r>
    <w:proofErr w:type="spellEnd"/>
    <w:r>
      <w:rPr>
        <w:rFonts w:ascii="Cambria" w:hAnsi="Cambria" w:cs="Cambria"/>
        <w:i/>
        <w:iCs/>
        <w:color w:val="auto"/>
        <w:sz w:val="18"/>
        <w:szCs w:val="18"/>
      </w:rPr>
      <w:t xml:space="preserve"> </w:t>
    </w:r>
    <w:proofErr w:type="spellStart"/>
    <w:r>
      <w:rPr>
        <w:rFonts w:ascii="Cambria" w:hAnsi="Cambria" w:cs="Cambria"/>
        <w:i/>
        <w:iCs/>
        <w:color w:val="auto"/>
        <w:sz w:val="18"/>
        <w:szCs w:val="18"/>
      </w:rPr>
      <w:t>Politik</w:t>
    </w:r>
    <w:proofErr w:type="spellEnd"/>
    <w:r>
      <w:rPr>
        <w:rFonts w:ascii="Cambria" w:hAnsi="Cambria" w:cs="Cambria"/>
        <w:i/>
        <w:iCs/>
        <w:color w:val="auto"/>
        <w:sz w:val="18"/>
        <w:szCs w:val="18"/>
      </w:rPr>
      <w:t xml:space="preserve"> dan Hukum</w:t>
    </w:r>
    <w:r w:rsidR="001906E4" w:rsidRPr="00146F46">
      <w:rPr>
        <w:rFonts w:ascii="Cambria" w:hAnsi="Cambria" w:cs="Cambria"/>
        <w:i/>
        <w:iCs/>
        <w:color w:val="auto"/>
        <w:sz w:val="18"/>
        <w:szCs w:val="18"/>
      </w:rPr>
      <w:t xml:space="preserve">        </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r>
      <w:rPr>
        <w:rFonts w:ascii="Cambria" w:hAnsi="Cambria"/>
        <w:color w:val="auto"/>
        <w:sz w:val="18"/>
        <w:szCs w:val="18"/>
      </w:rPr>
      <w:t>XXXX</w:t>
    </w:r>
    <w:r w:rsidR="00751C75" w:rsidRPr="00751C75">
      <w:rPr>
        <w:rFonts w:ascii="Cambria" w:hAnsi="Cambria"/>
        <w:color w:val="auto"/>
        <w:sz w:val="18"/>
        <w:szCs w:val="18"/>
      </w:rPr>
      <w:t>-</w:t>
    </w:r>
    <w:r>
      <w:rPr>
        <w:rFonts w:ascii="Cambria" w:hAnsi="Cambria"/>
        <w:color w:val="auto"/>
        <w:sz w:val="18"/>
        <w:szCs w:val="18"/>
      </w:rPr>
      <w:t>XXXX</w:t>
    </w:r>
  </w:p>
  <w:p w14:paraId="225C0673" w14:textId="29D51A97"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r w:rsidR="00C44C9D">
      <w:rPr>
        <w:rFonts w:ascii="Cambria" w:hAnsi="Cambria" w:cs="Cambria"/>
        <w:color w:val="auto"/>
        <w:sz w:val="18"/>
        <w:szCs w:val="18"/>
      </w:rPr>
      <w:t>Maret</w:t>
    </w:r>
    <w:r w:rsidR="001906E4" w:rsidRPr="00146F46">
      <w:rPr>
        <w:rFonts w:ascii="Cambria" w:hAnsi="Cambria" w:cs="Cambria"/>
        <w:color w:val="auto"/>
        <w:sz w:val="18"/>
        <w:szCs w:val="18"/>
      </w:rPr>
      <w:t xml:space="preserve"> 202</w:t>
    </w:r>
    <w:r w:rsidR="00C44C9D">
      <w:rPr>
        <w:rFonts w:ascii="Cambria" w:hAnsi="Cambria" w:cs="Cambria"/>
        <w:color w:val="auto"/>
        <w:sz w:val="18"/>
        <w:szCs w:val="18"/>
      </w:rPr>
      <w:t>5</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953"/>
      <w:gridCol w:w="2977"/>
    </w:tblGrid>
    <w:tr w:rsidR="005A4820" w14:paraId="74EC8EC9" w14:textId="77777777" w:rsidTr="00C44C9D">
      <w:trPr>
        <w:trHeight w:val="149"/>
      </w:trPr>
      <w:tc>
        <w:tcPr>
          <w:tcW w:w="5954" w:type="dxa"/>
          <w:tcMar>
            <w:top w:w="0" w:type="dxa"/>
            <w:left w:w="115" w:type="dxa"/>
            <w:bottom w:w="0" w:type="dxa"/>
            <w:right w:w="115" w:type="dxa"/>
          </w:tcMar>
          <w:vAlign w:val="center"/>
        </w:tcPr>
        <w:p w14:paraId="220B8C6C" w14:textId="4CE5BF2E" w:rsidR="005A4820" w:rsidRPr="005248C5" w:rsidRDefault="00C44C9D"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SIMPUL</w:t>
          </w:r>
          <w:r w:rsidR="00D51014">
            <w:rPr>
              <w:rFonts w:ascii="Cambria" w:hAnsi="Cambria" w:cs="Baloo Tamma 2"/>
              <w:b/>
              <w:bCs/>
              <w:color w:val="auto"/>
              <w:sz w:val="24"/>
              <w:szCs w:val="24"/>
            </w:rPr>
            <w:t xml:space="preserve">: </w:t>
          </w:r>
          <w:proofErr w:type="spellStart"/>
          <w:r w:rsidR="00D51014">
            <w:rPr>
              <w:rFonts w:ascii="Cambria" w:hAnsi="Cambria" w:cs="Baloo Tamma 2"/>
              <w:b/>
              <w:bCs/>
              <w:color w:val="auto"/>
              <w:sz w:val="24"/>
              <w:szCs w:val="24"/>
            </w:rPr>
            <w:t>Jurnal</w:t>
          </w:r>
          <w:proofErr w:type="spellEnd"/>
          <w:r w:rsidR="00D51014">
            <w:rPr>
              <w:rFonts w:ascii="Cambria" w:hAnsi="Cambria" w:cs="Baloo Tamma 2"/>
              <w:b/>
              <w:bCs/>
              <w:color w:val="auto"/>
              <w:sz w:val="24"/>
              <w:szCs w:val="24"/>
            </w:rPr>
            <w:t xml:space="preserve"> </w:t>
          </w:r>
          <w:proofErr w:type="spellStart"/>
          <w:r>
            <w:rPr>
              <w:rFonts w:ascii="Cambria" w:hAnsi="Cambria" w:cs="Baloo Tamma 2"/>
              <w:b/>
              <w:bCs/>
              <w:color w:val="auto"/>
              <w:sz w:val="24"/>
              <w:szCs w:val="24"/>
            </w:rPr>
            <w:t>Ilmu</w:t>
          </w:r>
          <w:proofErr w:type="spellEnd"/>
          <w:r>
            <w:rPr>
              <w:rFonts w:ascii="Cambria" w:hAnsi="Cambria" w:cs="Baloo Tamma 2"/>
              <w:b/>
              <w:bCs/>
              <w:color w:val="auto"/>
              <w:sz w:val="24"/>
              <w:szCs w:val="24"/>
            </w:rPr>
            <w:t xml:space="preserve"> </w:t>
          </w:r>
          <w:proofErr w:type="spellStart"/>
          <w:r>
            <w:rPr>
              <w:rFonts w:ascii="Cambria" w:hAnsi="Cambria" w:cs="Baloo Tamma 2"/>
              <w:b/>
              <w:bCs/>
              <w:color w:val="auto"/>
              <w:sz w:val="24"/>
              <w:szCs w:val="24"/>
            </w:rPr>
            <w:t>Politik</w:t>
          </w:r>
          <w:proofErr w:type="spellEnd"/>
          <w:r>
            <w:rPr>
              <w:rFonts w:ascii="Cambria" w:hAnsi="Cambria" w:cs="Baloo Tamma 2"/>
              <w:b/>
              <w:bCs/>
              <w:color w:val="auto"/>
              <w:sz w:val="24"/>
              <w:szCs w:val="24"/>
            </w:rPr>
            <w:t xml:space="preserve"> dan Hukum</w:t>
          </w:r>
        </w:p>
      </w:tc>
      <w:tc>
        <w:tcPr>
          <w:tcW w:w="2977"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3F1CAA65">
                <wp:extent cx="1695488" cy="4372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88" cy="437232"/>
                        </a:xfrm>
                        <a:prstGeom prst="rect">
                          <a:avLst/>
                        </a:prstGeom>
                        <a:noFill/>
                        <a:ln>
                          <a:noFill/>
                        </a:ln>
                      </pic:spPr>
                    </pic:pic>
                  </a:graphicData>
                </a:graphic>
              </wp:inline>
            </w:drawing>
          </w:r>
        </w:p>
      </w:tc>
    </w:tr>
    <w:tr w:rsidR="002F20FE" w14:paraId="28C8E689" w14:textId="77777777" w:rsidTr="00C44C9D">
      <w:trPr>
        <w:trHeight w:val="409"/>
      </w:trPr>
      <w:tc>
        <w:tcPr>
          <w:tcW w:w="5954" w:type="dxa"/>
          <w:tcMar>
            <w:top w:w="0" w:type="dxa"/>
            <w:left w:w="115" w:type="dxa"/>
            <w:bottom w:w="0" w:type="dxa"/>
            <w:right w:w="115" w:type="dxa"/>
          </w:tcMar>
          <w:vAlign w:val="center"/>
        </w:tcPr>
        <w:p w14:paraId="322EA317" w14:textId="006CF7C0"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C44C9D">
            <w:rPr>
              <w:rFonts w:ascii="Cambria" w:hAnsi="Cambria" w:cs="Cambria"/>
              <w:sz w:val="18"/>
              <w:szCs w:val="18"/>
            </w:rPr>
            <w:t>Maret</w:t>
          </w:r>
          <w:r w:rsidRPr="009343FD">
            <w:rPr>
              <w:rFonts w:ascii="Cambria" w:hAnsi="Cambria" w:cs="Cambria"/>
              <w:sz w:val="18"/>
              <w:szCs w:val="18"/>
            </w:rPr>
            <w:t xml:space="preserve"> 202</w:t>
          </w:r>
          <w:r w:rsidR="00C44C9D">
            <w:rPr>
              <w:rFonts w:ascii="Cambria" w:hAnsi="Cambria" w:cs="Cambria"/>
              <w:sz w:val="18"/>
              <w:szCs w:val="18"/>
            </w:rPr>
            <w:t>5</w:t>
          </w:r>
          <w:r w:rsidRPr="009343FD">
            <w:rPr>
              <w:rFonts w:ascii="Cambria" w:hAnsi="Cambria" w:cs="Cambria"/>
              <w:sz w:val="18"/>
              <w:szCs w:val="18"/>
            </w:rPr>
            <w:t>, pp. xx-xx</w:t>
          </w:r>
        </w:p>
        <w:p w14:paraId="42337CC0" w14:textId="68F79829" w:rsidR="002F20FE" w:rsidRPr="00C44C9D" w:rsidRDefault="002F20FE" w:rsidP="002F20FE">
          <w:pPr>
            <w:tabs>
              <w:tab w:val="center" w:pos="4111"/>
              <w:tab w:val="right" w:pos="8789"/>
            </w:tabs>
            <w:spacing w:after="0" w:line="240" w:lineRule="auto"/>
            <w:rPr>
              <w:rFonts w:ascii="Cambria" w:hAnsi="Cambria" w:cs="Cambria"/>
              <w:color w:val="6D2F9D"/>
              <w:sz w:val="16"/>
              <w:szCs w:val="16"/>
            </w:rPr>
          </w:pPr>
          <w:proofErr w:type="spellStart"/>
          <w:r w:rsidRPr="00C44C9D">
            <w:rPr>
              <w:rFonts w:ascii="Cambria" w:hAnsi="Cambria" w:cs="Cambria"/>
              <w:color w:val="6D2F9D"/>
              <w:sz w:val="18"/>
              <w:szCs w:val="18"/>
            </w:rPr>
            <w:t>eISSN</w:t>
          </w:r>
          <w:proofErr w:type="spellEnd"/>
          <w:r w:rsidRPr="00C44C9D">
            <w:rPr>
              <w:rFonts w:ascii="Cambria" w:hAnsi="Cambria" w:cs="Cambria"/>
              <w:color w:val="6D2F9D"/>
              <w:sz w:val="18"/>
              <w:szCs w:val="18"/>
            </w:rPr>
            <w:t xml:space="preserve"> </w:t>
          </w:r>
          <w:r w:rsidR="00C44C9D" w:rsidRPr="00C44C9D">
            <w:rPr>
              <w:rFonts w:ascii="Cambria" w:hAnsi="Cambria" w:cs="Cambria"/>
              <w:color w:val="6D2F9D"/>
              <w:sz w:val="18"/>
              <w:szCs w:val="18"/>
            </w:rPr>
            <w:t>XXXX</w:t>
          </w:r>
          <w:r w:rsidR="00751C75" w:rsidRPr="00C44C9D">
            <w:rPr>
              <w:rFonts w:ascii="Cambria" w:hAnsi="Cambria" w:cs="Cambria"/>
              <w:color w:val="6D2F9D"/>
              <w:sz w:val="18"/>
              <w:szCs w:val="18"/>
            </w:rPr>
            <w:t>-</w:t>
          </w:r>
          <w:r w:rsidR="00C44C9D" w:rsidRPr="00C44C9D">
            <w:rPr>
              <w:rFonts w:ascii="Cambria" w:hAnsi="Cambria" w:cs="Cambria"/>
              <w:color w:val="6D2F9D"/>
              <w:sz w:val="18"/>
              <w:szCs w:val="18"/>
            </w:rPr>
            <w:t>XXXX</w:t>
          </w:r>
          <w:r w:rsidRPr="00C44C9D">
            <w:rPr>
              <w:rFonts w:ascii="Cambria" w:hAnsi="Cambria" w:cs="Cambria"/>
              <w:color w:val="6D2F9D"/>
              <w:sz w:val="18"/>
              <w:szCs w:val="18"/>
            </w:rPr>
            <w:t xml:space="preserve"> | </w:t>
          </w:r>
          <w:r w:rsidRPr="00C44C9D">
            <w:rPr>
              <w:rFonts w:ascii="Cambria" w:hAnsi="Cambria"/>
              <w:color w:val="6D2F9D"/>
              <w:sz w:val="18"/>
              <w:szCs w:val="18"/>
            </w:rPr>
            <w:t>https://ejournal.gemacendekia.org/index.php/</w:t>
          </w:r>
          <w:r w:rsidR="00C44C9D" w:rsidRPr="00C44C9D">
            <w:rPr>
              <w:rFonts w:ascii="Cambria" w:hAnsi="Cambria"/>
              <w:color w:val="6D2F9D"/>
              <w:sz w:val="18"/>
              <w:szCs w:val="18"/>
            </w:rPr>
            <w:t>simpul</w:t>
          </w:r>
        </w:p>
      </w:tc>
      <w:tc>
        <w:tcPr>
          <w:tcW w:w="2977"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0285"/>
    <w:rsid w:val="000D2237"/>
    <w:rsid w:val="000D2F1F"/>
    <w:rsid w:val="00121541"/>
    <w:rsid w:val="00134229"/>
    <w:rsid w:val="00146F46"/>
    <w:rsid w:val="001906E4"/>
    <w:rsid w:val="001B3FF3"/>
    <w:rsid w:val="001D4199"/>
    <w:rsid w:val="001E065F"/>
    <w:rsid w:val="00201D70"/>
    <w:rsid w:val="0028744B"/>
    <w:rsid w:val="002F20FE"/>
    <w:rsid w:val="00306CDD"/>
    <w:rsid w:val="00384009"/>
    <w:rsid w:val="003B077D"/>
    <w:rsid w:val="003C656D"/>
    <w:rsid w:val="003D6FBB"/>
    <w:rsid w:val="003E4605"/>
    <w:rsid w:val="004202F7"/>
    <w:rsid w:val="00433521"/>
    <w:rsid w:val="00437D3C"/>
    <w:rsid w:val="00445029"/>
    <w:rsid w:val="004831A9"/>
    <w:rsid w:val="004A18EC"/>
    <w:rsid w:val="0050433E"/>
    <w:rsid w:val="005248C5"/>
    <w:rsid w:val="00534A0F"/>
    <w:rsid w:val="005A0116"/>
    <w:rsid w:val="005A4820"/>
    <w:rsid w:val="005F1593"/>
    <w:rsid w:val="00674E4B"/>
    <w:rsid w:val="006E32CD"/>
    <w:rsid w:val="006F177A"/>
    <w:rsid w:val="00745767"/>
    <w:rsid w:val="00751C75"/>
    <w:rsid w:val="00752EE3"/>
    <w:rsid w:val="00794A71"/>
    <w:rsid w:val="00794CCC"/>
    <w:rsid w:val="00891390"/>
    <w:rsid w:val="0089170D"/>
    <w:rsid w:val="00891AD3"/>
    <w:rsid w:val="008D0CC8"/>
    <w:rsid w:val="008D2C51"/>
    <w:rsid w:val="00901F75"/>
    <w:rsid w:val="009343FD"/>
    <w:rsid w:val="009614A3"/>
    <w:rsid w:val="009B2408"/>
    <w:rsid w:val="009E22F1"/>
    <w:rsid w:val="00A1466B"/>
    <w:rsid w:val="00A54453"/>
    <w:rsid w:val="00A77B3E"/>
    <w:rsid w:val="00AC07E7"/>
    <w:rsid w:val="00AD3564"/>
    <w:rsid w:val="00B23F0B"/>
    <w:rsid w:val="00B91E4C"/>
    <w:rsid w:val="00BC2C18"/>
    <w:rsid w:val="00C07B54"/>
    <w:rsid w:val="00C44C9D"/>
    <w:rsid w:val="00CA2A55"/>
    <w:rsid w:val="00CA4920"/>
    <w:rsid w:val="00CC7FA7"/>
    <w:rsid w:val="00D007A9"/>
    <w:rsid w:val="00D05FDF"/>
    <w:rsid w:val="00D212FC"/>
    <w:rsid w:val="00D2230E"/>
    <w:rsid w:val="00D51014"/>
    <w:rsid w:val="00D631B2"/>
    <w:rsid w:val="00DB16E9"/>
    <w:rsid w:val="00DC672D"/>
    <w:rsid w:val="00DF47B1"/>
    <w:rsid w:val="00E22B2F"/>
    <w:rsid w:val="00E45895"/>
    <w:rsid w:val="00E811E2"/>
    <w:rsid w:val="00E83848"/>
    <w:rsid w:val="00EC2B29"/>
    <w:rsid w:val="00F3302D"/>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11</cp:revision>
  <cp:lastPrinted>2024-11-20T14:01:00Z</cp:lastPrinted>
  <dcterms:created xsi:type="dcterms:W3CDTF">2024-12-16T04:50:00Z</dcterms:created>
  <dcterms:modified xsi:type="dcterms:W3CDTF">2025-04-01T12:06:00Z</dcterms:modified>
</cp:coreProperties>
</file>